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F" w:rsidRDefault="003B6A5F" w:rsidP="003B6A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B6A5F" w:rsidRPr="000D35A3" w:rsidTr="003B6A5F">
        <w:trPr>
          <w:trHeight w:val="1313"/>
        </w:trPr>
        <w:tc>
          <w:tcPr>
            <w:tcW w:w="9430" w:type="dxa"/>
          </w:tcPr>
          <w:p w:rsidR="003B6A5F" w:rsidRPr="002B453D" w:rsidRDefault="003B6A5F" w:rsidP="003B6A5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3B6A5F" w:rsidRPr="002B453D" w:rsidRDefault="003B6A5F" w:rsidP="003B6A5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3B6A5F" w:rsidRPr="000D35A3" w:rsidRDefault="003B6A5F" w:rsidP="003B6A5F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3B6A5F" w:rsidRPr="000D35A3" w:rsidRDefault="003B6A5F" w:rsidP="003B6A5F"/>
          <w:p w:rsidR="003B6A5F" w:rsidRPr="002B453D" w:rsidRDefault="003B6A5F" w:rsidP="003B6A5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3B6A5F" w:rsidRPr="002B453D" w:rsidRDefault="003B6A5F" w:rsidP="003B6A5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3B6A5F" w:rsidRPr="000D35A3" w:rsidRDefault="003B6A5F" w:rsidP="003B6A5F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3B6A5F" w:rsidRPr="000D35A3" w:rsidRDefault="003B6A5F" w:rsidP="003B6A5F">
            <w:pPr>
              <w:jc w:val="center"/>
              <w:rPr>
                <w:sz w:val="20"/>
              </w:rPr>
            </w:pPr>
          </w:p>
        </w:tc>
      </w:tr>
    </w:tbl>
    <w:p w:rsidR="003B6A5F" w:rsidRPr="000D35A3" w:rsidRDefault="003B6A5F" w:rsidP="003B6A5F">
      <w:pPr>
        <w:pStyle w:val="2"/>
        <w:spacing w:before="0" w:after="0"/>
        <w:rPr>
          <w:rFonts w:ascii="Times New Roman" w:hAnsi="Times New Roman"/>
        </w:rPr>
      </w:pPr>
    </w:p>
    <w:p w:rsidR="003B6A5F" w:rsidRPr="000D35A3" w:rsidRDefault="003B6A5F" w:rsidP="003B6A5F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3B6A5F" w:rsidRPr="000D35A3" w:rsidRDefault="003B6A5F" w:rsidP="003B6A5F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3B6A5F" w:rsidRDefault="00754714" w:rsidP="003B6A5F">
      <w:pPr>
        <w:rPr>
          <w:szCs w:val="28"/>
        </w:rPr>
      </w:pPr>
      <w:r w:rsidRPr="000D35A3">
        <w:rPr>
          <w:szCs w:val="28"/>
        </w:rPr>
        <w:t xml:space="preserve">от </w:t>
      </w:r>
      <w:r w:rsidRPr="00DB74E3">
        <w:rPr>
          <w:szCs w:val="28"/>
        </w:rPr>
        <w:t>06</w:t>
      </w:r>
      <w:r w:rsidR="00DB74E3">
        <w:rPr>
          <w:szCs w:val="28"/>
        </w:rPr>
        <w:t xml:space="preserve">. </w:t>
      </w:r>
      <w:r w:rsidRPr="00DB74E3">
        <w:rPr>
          <w:szCs w:val="28"/>
        </w:rPr>
        <w:t>03</w:t>
      </w:r>
      <w:r w:rsidR="00DB74E3" w:rsidRPr="00DB74E3">
        <w:rPr>
          <w:szCs w:val="28"/>
        </w:rPr>
        <w:t>.</w:t>
      </w:r>
      <w:r w:rsidRPr="00DB74E3">
        <w:rPr>
          <w:szCs w:val="28"/>
        </w:rPr>
        <w:t>2014</w:t>
      </w:r>
      <w:r w:rsidRPr="000D35A3">
        <w:rPr>
          <w:szCs w:val="28"/>
        </w:rPr>
        <w:t xml:space="preserve"> г.</w:t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="00DB74E3">
        <w:rPr>
          <w:szCs w:val="28"/>
        </w:rPr>
        <w:tab/>
      </w:r>
      <w:r w:rsidR="00DB74E3">
        <w:rPr>
          <w:szCs w:val="28"/>
        </w:rPr>
        <w:tab/>
      </w:r>
      <w:r w:rsidR="00DB74E3">
        <w:rPr>
          <w:szCs w:val="28"/>
        </w:rPr>
        <w:tab/>
      </w:r>
      <w:r w:rsidRPr="000D35A3">
        <w:rPr>
          <w:szCs w:val="28"/>
        </w:rPr>
        <w:t>№</w:t>
      </w:r>
      <w:r>
        <w:rPr>
          <w:szCs w:val="28"/>
        </w:rPr>
        <w:t xml:space="preserve"> 11/14-ПГ</w:t>
      </w:r>
    </w:p>
    <w:p w:rsidR="00754714" w:rsidRPr="000D35A3" w:rsidRDefault="00754714" w:rsidP="003B6A5F"/>
    <w:p w:rsidR="003B6A5F" w:rsidRPr="000D35A3" w:rsidRDefault="003B6A5F" w:rsidP="003B6A5F">
      <w:pPr>
        <w:jc w:val="center"/>
        <w:rPr>
          <w:szCs w:val="28"/>
        </w:rPr>
      </w:pPr>
    </w:p>
    <w:p w:rsidR="003B6A5F" w:rsidRDefault="003B6A5F" w:rsidP="003B6A5F">
      <w:pPr>
        <w:spacing w:line="360" w:lineRule="auto"/>
        <w:jc w:val="center"/>
        <w:rPr>
          <w:b/>
          <w:bCs/>
          <w:szCs w:val="28"/>
        </w:rPr>
      </w:pPr>
      <w:r w:rsidRPr="003B6A5F">
        <w:rPr>
          <w:b/>
          <w:bCs/>
          <w:szCs w:val="28"/>
        </w:rPr>
        <w:t>О представлении лицами,</w:t>
      </w:r>
    </w:p>
    <w:p w:rsidR="003B6A5F" w:rsidRPr="003B6A5F" w:rsidRDefault="003B6A5F" w:rsidP="003B6A5F">
      <w:pPr>
        <w:spacing w:line="360" w:lineRule="auto"/>
        <w:jc w:val="center"/>
        <w:rPr>
          <w:b/>
          <w:bCs/>
          <w:szCs w:val="28"/>
        </w:rPr>
      </w:pPr>
      <w:proofErr w:type="gramStart"/>
      <w:r w:rsidRPr="003B6A5F">
        <w:rPr>
          <w:b/>
          <w:bCs/>
          <w:szCs w:val="28"/>
        </w:rPr>
        <w:t>замещающими</w:t>
      </w:r>
      <w:proofErr w:type="gramEnd"/>
      <w:r w:rsidRPr="003B6A5F">
        <w:rPr>
          <w:b/>
          <w:bCs/>
          <w:szCs w:val="28"/>
        </w:rPr>
        <w:t xml:space="preserve"> муниципальные должности,</w:t>
      </w:r>
      <w:r w:rsidR="00656A43">
        <w:rPr>
          <w:b/>
          <w:bCs/>
          <w:szCs w:val="28"/>
        </w:rPr>
        <w:t xml:space="preserve"> </w:t>
      </w:r>
      <w:bookmarkStart w:id="0" w:name="_GoBack"/>
      <w:bookmarkEnd w:id="0"/>
      <w:r w:rsidRPr="003B6A5F">
        <w:rPr>
          <w:b/>
          <w:bCs/>
          <w:szCs w:val="28"/>
        </w:rPr>
        <w:t>сведений о доходах, об имуществе иобязательствах имущественного характера</w:t>
      </w:r>
    </w:p>
    <w:p w:rsidR="003B6A5F" w:rsidRPr="000D35A3" w:rsidRDefault="003B6A5F" w:rsidP="003B6A5F">
      <w:pPr>
        <w:spacing w:line="360" w:lineRule="auto"/>
        <w:jc w:val="center"/>
        <w:rPr>
          <w:b/>
          <w:bCs/>
          <w:szCs w:val="28"/>
        </w:rPr>
      </w:pPr>
    </w:p>
    <w:p w:rsidR="003B6A5F" w:rsidRPr="003B6A5F" w:rsidRDefault="003B6A5F" w:rsidP="003B6A5F">
      <w:pPr>
        <w:spacing w:line="360" w:lineRule="auto"/>
        <w:ind w:firstLine="709"/>
        <w:jc w:val="both"/>
        <w:rPr>
          <w:szCs w:val="28"/>
        </w:rPr>
      </w:pPr>
      <w:r w:rsidRPr="003B6A5F">
        <w:rPr>
          <w:szCs w:val="28"/>
        </w:rPr>
        <w:t>В соответст</w:t>
      </w:r>
      <w:r>
        <w:rPr>
          <w:szCs w:val="28"/>
        </w:rPr>
        <w:t>вии с Федеральным законом от 25.12.</w:t>
      </w:r>
      <w:r w:rsidRPr="003B6A5F">
        <w:rPr>
          <w:szCs w:val="28"/>
        </w:rPr>
        <w:t>2008 № 273-ФЗ «О противодействии коррупции», Указом Президента</w:t>
      </w:r>
      <w:r>
        <w:rPr>
          <w:szCs w:val="28"/>
        </w:rPr>
        <w:t xml:space="preserve"> Республики Саха (Якутия) от 16.01.</w:t>
      </w:r>
      <w:r w:rsidRPr="003B6A5F">
        <w:rPr>
          <w:szCs w:val="28"/>
        </w:rPr>
        <w:t xml:space="preserve">2010 № 1793 «О представлении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сведений о </w:t>
      </w:r>
      <w:r w:rsidRPr="005067D9">
        <w:rPr>
          <w:szCs w:val="28"/>
        </w:rPr>
        <w:t>доходах, об</w:t>
      </w:r>
      <w:r w:rsidRPr="003B6A5F">
        <w:rPr>
          <w:szCs w:val="28"/>
        </w:rPr>
        <w:t xml:space="preserve"> имуществе и обязательствах имущественного характера»  </w:t>
      </w:r>
    </w:p>
    <w:p w:rsidR="003B6A5F" w:rsidRDefault="003B6A5F" w:rsidP="003B6A5F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3B6A5F" w:rsidRDefault="003B6A5F" w:rsidP="003B6A5F">
      <w:pPr>
        <w:spacing w:line="360" w:lineRule="auto"/>
        <w:ind w:firstLine="709"/>
        <w:jc w:val="both"/>
        <w:rPr>
          <w:szCs w:val="28"/>
        </w:rPr>
      </w:pPr>
      <w:r w:rsidRPr="000D35A3">
        <w:rPr>
          <w:szCs w:val="28"/>
        </w:rPr>
        <w:t xml:space="preserve">1. Утвердить </w:t>
      </w:r>
      <w:r>
        <w:rPr>
          <w:szCs w:val="28"/>
        </w:rPr>
        <w:t>прилагаемые:</w:t>
      </w:r>
    </w:p>
    <w:p w:rsidR="003B6A5F" w:rsidRPr="003B6A5F" w:rsidRDefault="003B6A5F" w:rsidP="003B6A5F">
      <w:pPr>
        <w:spacing w:line="360" w:lineRule="auto"/>
        <w:ind w:firstLine="709"/>
        <w:jc w:val="both"/>
        <w:rPr>
          <w:szCs w:val="28"/>
        </w:rPr>
      </w:pPr>
      <w:r w:rsidRPr="003B6A5F">
        <w:rPr>
          <w:szCs w:val="28"/>
        </w:rPr>
        <w:t>а) Положение о представлении лицами, замещающими муниципальные должности, сведений о доходах, об имуществе и обязательствах имущественного характера;</w:t>
      </w:r>
    </w:p>
    <w:p w:rsidR="003B6A5F" w:rsidRPr="003B6A5F" w:rsidRDefault="003B6A5F" w:rsidP="003B6A5F">
      <w:pPr>
        <w:spacing w:line="360" w:lineRule="auto"/>
        <w:ind w:firstLine="709"/>
        <w:jc w:val="both"/>
        <w:rPr>
          <w:szCs w:val="28"/>
        </w:rPr>
      </w:pPr>
      <w:r w:rsidRPr="003B6A5F">
        <w:rPr>
          <w:szCs w:val="28"/>
        </w:rPr>
        <w:t>б) форму справки о доходах, об имуществе и обязательствах имущественного характера лица, замещающего муниципальную должность;</w:t>
      </w:r>
    </w:p>
    <w:p w:rsidR="003B6A5F" w:rsidRPr="003B6A5F" w:rsidRDefault="003B6A5F" w:rsidP="003B6A5F">
      <w:pPr>
        <w:spacing w:line="360" w:lineRule="auto"/>
        <w:ind w:firstLine="709"/>
        <w:jc w:val="both"/>
        <w:rPr>
          <w:szCs w:val="28"/>
        </w:rPr>
      </w:pPr>
      <w:r w:rsidRPr="003B6A5F">
        <w:rPr>
          <w:szCs w:val="28"/>
        </w:rPr>
        <w:lastRenderedPageBreak/>
        <w:t>в) форму справки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должность.</w:t>
      </w:r>
    </w:p>
    <w:p w:rsidR="003B6A5F" w:rsidRPr="00C72156" w:rsidRDefault="003B6A5F" w:rsidP="003B6A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 Постановление</w:t>
      </w:r>
      <w:proofErr w:type="gramEnd"/>
      <w:r>
        <w:rPr>
          <w:szCs w:val="28"/>
        </w:rPr>
        <w:t xml:space="preserve"> на официальном сайте </w:t>
      </w:r>
      <w:r w:rsidRPr="00C72156">
        <w:rPr>
          <w:szCs w:val="28"/>
        </w:rPr>
        <w:t>городской Администрации (www.gorodmirny.ru).</w:t>
      </w:r>
    </w:p>
    <w:p w:rsidR="003B6A5F" w:rsidRPr="000D35A3" w:rsidRDefault="003B6A5F" w:rsidP="003B6A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35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D35A3">
        <w:rPr>
          <w:sz w:val="28"/>
          <w:szCs w:val="28"/>
        </w:rPr>
        <w:t xml:space="preserve"> вступает в силу </w:t>
      </w:r>
      <w:r w:rsidR="005067D9"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2014 года.</w:t>
      </w:r>
    </w:p>
    <w:p w:rsidR="003B6A5F" w:rsidRPr="000D35A3" w:rsidRDefault="003B6A5F" w:rsidP="003B6A5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D35A3">
        <w:rPr>
          <w:szCs w:val="28"/>
        </w:rPr>
        <w:t xml:space="preserve">. Контроль </w:t>
      </w:r>
      <w:r>
        <w:rPr>
          <w:szCs w:val="28"/>
        </w:rPr>
        <w:t>исполнения Постановления оставляю за собой.</w:t>
      </w:r>
    </w:p>
    <w:p w:rsidR="003B6A5F" w:rsidRPr="000D35A3" w:rsidRDefault="003B6A5F" w:rsidP="003B6A5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3B6A5F" w:rsidRPr="000D35A3" w:rsidRDefault="003B6A5F" w:rsidP="003B6A5F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  <w:r w:rsidRPr="000D35A3">
        <w:rPr>
          <w:b/>
          <w:sz w:val="28"/>
          <w:szCs w:val="28"/>
        </w:rPr>
        <w:t>Глава города</w:t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</w:r>
      <w:r w:rsidRPr="000D35A3">
        <w:rPr>
          <w:b/>
          <w:sz w:val="28"/>
          <w:szCs w:val="28"/>
        </w:rPr>
        <w:tab/>
        <w:t>А.В. Басыров</w:t>
      </w:r>
    </w:p>
    <w:p w:rsidR="003B6A5F" w:rsidRPr="000D35A3" w:rsidRDefault="003B6A5F" w:rsidP="003B6A5F">
      <w:pPr>
        <w:pStyle w:val="a3"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5067D9" w:rsidRDefault="005067D9" w:rsidP="003B6A5F">
      <w:pPr>
        <w:ind w:firstLine="540"/>
        <w:jc w:val="both"/>
        <w:rPr>
          <w:szCs w:val="28"/>
        </w:rPr>
      </w:pPr>
    </w:p>
    <w:p w:rsidR="005067D9" w:rsidRDefault="005067D9" w:rsidP="003B6A5F">
      <w:pPr>
        <w:ind w:firstLine="540"/>
        <w:jc w:val="both"/>
        <w:rPr>
          <w:szCs w:val="28"/>
        </w:rPr>
      </w:pPr>
    </w:p>
    <w:p w:rsidR="005067D9" w:rsidRDefault="005067D9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ind w:firstLine="540"/>
        <w:jc w:val="both"/>
        <w:rPr>
          <w:szCs w:val="28"/>
        </w:rPr>
      </w:pPr>
    </w:p>
    <w:p w:rsidR="003B6A5F" w:rsidRDefault="003B6A5F" w:rsidP="003B6A5F">
      <w:pPr>
        <w:rPr>
          <w:sz w:val="22"/>
          <w:szCs w:val="22"/>
        </w:rPr>
      </w:pPr>
    </w:p>
    <w:p w:rsidR="00754714" w:rsidRPr="00C72156" w:rsidRDefault="00754714" w:rsidP="003B6A5F">
      <w:pPr>
        <w:rPr>
          <w:sz w:val="22"/>
          <w:szCs w:val="22"/>
        </w:rPr>
      </w:pPr>
    </w:p>
    <w:p w:rsidR="003B6A5F" w:rsidRDefault="003B6A5F" w:rsidP="003B6A5F">
      <w:pPr>
        <w:rPr>
          <w:szCs w:val="28"/>
        </w:rPr>
      </w:pPr>
    </w:p>
    <w:p w:rsidR="003B6A5F" w:rsidRDefault="003B6A5F" w:rsidP="003B6A5F">
      <w:pPr>
        <w:pStyle w:val="21"/>
        <w:ind w:firstLine="540"/>
        <w:jc w:val="both"/>
        <w:rPr>
          <w:rFonts w:ascii="Arial" w:hAnsi="Arial" w:cs="Arial"/>
          <w:sz w:val="24"/>
        </w:rPr>
      </w:pPr>
    </w:p>
    <w:p w:rsidR="003B6A5F" w:rsidRDefault="003B6A5F" w:rsidP="003B6A5F">
      <w:pPr>
        <w:pStyle w:val="21"/>
        <w:tabs>
          <w:tab w:val="left" w:pos="1080"/>
        </w:tabs>
        <w:ind w:firstLine="540"/>
        <w:jc w:val="both"/>
        <w:rPr>
          <w:rFonts w:ascii="Arial" w:hAnsi="Arial" w:cs="Arial"/>
          <w:sz w:val="24"/>
        </w:rPr>
      </w:pPr>
    </w:p>
    <w:p w:rsidR="003B6A5F" w:rsidRDefault="003B6A5F" w:rsidP="00FD6C7B">
      <w:pPr>
        <w:ind w:left="4140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3B6A5F" w:rsidRDefault="003B6A5F" w:rsidP="00FD6C7B">
      <w:pPr>
        <w:ind w:left="4140"/>
        <w:jc w:val="right"/>
        <w:rPr>
          <w:szCs w:val="28"/>
        </w:rPr>
      </w:pPr>
      <w:r>
        <w:rPr>
          <w:szCs w:val="28"/>
        </w:rPr>
        <w:t>Постановлением Главы города</w:t>
      </w:r>
    </w:p>
    <w:p w:rsidR="003B6A5F" w:rsidRPr="000D35A3" w:rsidRDefault="00754714" w:rsidP="00FD6C7B">
      <w:pPr>
        <w:ind w:left="4140"/>
        <w:jc w:val="right"/>
        <w:rPr>
          <w:b/>
          <w:szCs w:val="28"/>
        </w:rPr>
      </w:pPr>
      <w:r w:rsidRPr="009332B7">
        <w:rPr>
          <w:szCs w:val="28"/>
        </w:rPr>
        <w:t xml:space="preserve">от </w:t>
      </w:r>
      <w:r w:rsidRPr="003343D7">
        <w:rPr>
          <w:szCs w:val="28"/>
        </w:rPr>
        <w:t>06</w:t>
      </w:r>
      <w:r w:rsidR="003343D7" w:rsidRPr="003343D7">
        <w:rPr>
          <w:szCs w:val="28"/>
        </w:rPr>
        <w:t>.</w:t>
      </w:r>
      <w:r w:rsidRPr="003343D7">
        <w:rPr>
          <w:szCs w:val="28"/>
        </w:rPr>
        <w:t>03</w:t>
      </w:r>
      <w:r w:rsidR="003343D7" w:rsidRPr="003343D7">
        <w:rPr>
          <w:szCs w:val="28"/>
        </w:rPr>
        <w:t>.</w:t>
      </w:r>
      <w:r>
        <w:rPr>
          <w:szCs w:val="28"/>
        </w:rPr>
        <w:t>2014 г.  № 11</w:t>
      </w:r>
      <w:r w:rsidRPr="009332B7">
        <w:rPr>
          <w:szCs w:val="28"/>
        </w:rPr>
        <w:t>/14-ПГ</w:t>
      </w:r>
    </w:p>
    <w:p w:rsidR="003B6A5F" w:rsidRPr="000D35A3" w:rsidRDefault="003B6A5F" w:rsidP="003B6A5F">
      <w:pPr>
        <w:jc w:val="center"/>
        <w:rPr>
          <w:b/>
          <w:szCs w:val="28"/>
        </w:rPr>
      </w:pPr>
    </w:p>
    <w:p w:rsidR="003B6A5F" w:rsidRDefault="003B6A5F" w:rsidP="003B6A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B6A5F" w:rsidRPr="003B6A5F" w:rsidRDefault="003B6A5F" w:rsidP="003B6A5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6A5F">
        <w:rPr>
          <w:b/>
        </w:rPr>
        <w:t xml:space="preserve">Положение </w:t>
      </w:r>
    </w:p>
    <w:p w:rsidR="003B6A5F" w:rsidRPr="003B6A5F" w:rsidRDefault="003B6A5F" w:rsidP="003B6A5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6A5F">
        <w:rPr>
          <w:b/>
        </w:rPr>
        <w:t xml:space="preserve">о представлении </w:t>
      </w:r>
      <w:r w:rsidRPr="003B6A5F">
        <w:rPr>
          <w:b/>
          <w:bCs/>
        </w:rPr>
        <w:t xml:space="preserve">лицами, замещающими муниципальные должности, </w:t>
      </w:r>
      <w:r w:rsidRPr="003B6A5F">
        <w:rPr>
          <w:b/>
        </w:rPr>
        <w:t>сведений о доходах, об имуществе и обязательствах имущественного характера</w:t>
      </w:r>
    </w:p>
    <w:p w:rsidR="003B6A5F" w:rsidRPr="003B6A5F" w:rsidRDefault="003B6A5F" w:rsidP="003B6A5F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 xml:space="preserve">1. </w:t>
      </w:r>
      <w:proofErr w:type="gramStart"/>
      <w:r w:rsidRPr="00E23E40">
        <w:t>Настоящим Положением определяется порядок представления гражданами, претендующими на замещение муниципальных должностей муниципального образования «Город Мирный» Мирнинского района Республики Саха (Якутия), и лицами, замещающими эти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Pr="00E23E40"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>2. Сведения о доходах,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муниципальных должностей муниципального образования «Город Мирный» Мирнинского района Республики Саха (Якутия), и лица, замещающие эти  должности</w:t>
      </w:r>
      <w:r w:rsidR="009F1749" w:rsidRPr="00E23E40">
        <w:t xml:space="preserve"> (далее – муниципальные должности).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2"/>
      <w:bookmarkEnd w:id="1"/>
      <w:r w:rsidRPr="00E23E40">
        <w:t xml:space="preserve">3. Сведения о доходах, об имуществе и обязательствах имущественного характера представляются по утвержденным формам справок: гражданами, претендующими на замещение </w:t>
      </w:r>
      <w:r w:rsidR="009F1749" w:rsidRPr="00E23E40">
        <w:t>муниципальных</w:t>
      </w:r>
      <w:r w:rsidRPr="00E23E40">
        <w:t xml:space="preserve"> должностей, - при наделении полномочиями по должности (назначении, избрании на должность); лицами, замещающими </w:t>
      </w:r>
      <w:r w:rsidR="009F1749" w:rsidRPr="00E23E40">
        <w:t>муниципальные</w:t>
      </w:r>
      <w:r w:rsidRPr="00E23E40">
        <w:t xml:space="preserve"> должности, - ежегодно, не позднее 30 апреля года, следующего </w:t>
      </w:r>
      <w:proofErr w:type="gramStart"/>
      <w:r w:rsidRPr="00E23E40">
        <w:t>за</w:t>
      </w:r>
      <w:proofErr w:type="gramEnd"/>
      <w:r w:rsidRPr="00E23E40">
        <w:t xml:space="preserve"> отчетным.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lastRenderedPageBreak/>
        <w:t xml:space="preserve">4. Гражданин, претендующий на замещение </w:t>
      </w:r>
      <w:r w:rsidR="009F1749" w:rsidRPr="00E23E40">
        <w:t>муниципальной</w:t>
      </w:r>
      <w:r w:rsidRPr="00E23E40">
        <w:t xml:space="preserve"> должности</w:t>
      </w:r>
      <w:r w:rsidR="009F1749" w:rsidRPr="00E23E40">
        <w:t>,</w:t>
      </w:r>
      <w:r w:rsidRPr="00E23E40">
        <w:t xml:space="preserve"> представляет при наделении полномочиями по должности (назначении, избрании на должность):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23E40"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9F1749" w:rsidRPr="00E23E40">
        <w:t>муниципальной</w:t>
      </w:r>
      <w:r w:rsidRPr="00E23E40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E23E40">
        <w:t xml:space="preserve"> документов для замещения </w:t>
      </w:r>
      <w:r w:rsidR="009F1749" w:rsidRPr="00E23E40">
        <w:t>муниципальной</w:t>
      </w:r>
      <w:r w:rsidRPr="00E23E40">
        <w:t xml:space="preserve"> должности (на отчетную дату);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23E40"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9F1749" w:rsidRPr="00E23E40">
        <w:t>муниципальной</w:t>
      </w:r>
      <w:r w:rsidRPr="00E23E40">
        <w:t xml:space="preserve">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E23E40">
        <w:t xml:space="preserve"> замещения </w:t>
      </w:r>
      <w:r w:rsidR="009F1749" w:rsidRPr="00E23E40">
        <w:t>муниципальной</w:t>
      </w:r>
      <w:r w:rsidRPr="00E23E40">
        <w:t xml:space="preserve"> должности (на отчетную дату).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 xml:space="preserve">5. Лицо, замещающее </w:t>
      </w:r>
      <w:r w:rsidR="009F1749" w:rsidRPr="00E23E40">
        <w:t>муниципальную</w:t>
      </w:r>
      <w:r w:rsidRPr="00E23E40">
        <w:t xml:space="preserve"> должность, представляет ежегодно: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23E40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 w:rsidRPr="00E23E40">
        <w:lastRenderedPageBreak/>
        <w:t>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 xml:space="preserve">6. Сведения о доходах, об имуществе и обязательствах имущественного характера представляютсяв кадровую службу органа </w:t>
      </w:r>
      <w:r w:rsidR="009F1749" w:rsidRPr="00E23E40">
        <w:t>местного самоуправления муниципального образования «Город Мирный» Мирнинского района Республики Саха (Якутия) (далее – кадровая служба)</w:t>
      </w:r>
      <w:r w:rsidRPr="00E23E40">
        <w:t>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7" w:history="1">
        <w:r w:rsidR="005067D9" w:rsidRPr="00E23E40">
          <w:t>7</w:t>
        </w:r>
      </w:hyperlink>
      <w:r w:rsidR="005067D9" w:rsidRPr="00E23E40">
        <w:t xml:space="preserve">. В случае если гражданин, претендующий на замещение </w:t>
      </w:r>
      <w:r w:rsidR="009F1749" w:rsidRPr="00E23E40">
        <w:t>муниципальной</w:t>
      </w:r>
      <w:r w:rsidR="005067D9" w:rsidRPr="00E23E40">
        <w:t xml:space="preserve"> должности, или лицо, замещающее </w:t>
      </w:r>
      <w:r w:rsidR="009F1749" w:rsidRPr="00E23E40">
        <w:t>муниципальную</w:t>
      </w:r>
      <w:r w:rsidR="005067D9" w:rsidRPr="00E23E40">
        <w:t xml:space="preserve">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 xml:space="preserve">Лицо, замещающее </w:t>
      </w:r>
      <w:r w:rsidR="009F1749" w:rsidRPr="00E23E40">
        <w:t>муниципальную</w:t>
      </w:r>
      <w:r w:rsidRPr="00E23E40">
        <w:t xml:space="preserve"> должност</w:t>
      </w:r>
      <w:r w:rsidR="009F1749" w:rsidRPr="00E23E40">
        <w:t>ь</w:t>
      </w:r>
      <w:r w:rsidRPr="00E23E40">
        <w:t xml:space="preserve">, может представить уточненные сведения в течение трех месяцев после окончания срока, указанного в </w:t>
      </w:r>
      <w:hyperlink w:anchor="Par2" w:history="1">
        <w:r w:rsidRPr="00E23E40">
          <w:t>пункте 3</w:t>
        </w:r>
      </w:hyperlink>
      <w:r w:rsidRPr="00E23E40">
        <w:t xml:space="preserve"> настоящего Положения.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8" w:history="1">
        <w:r w:rsidR="005067D9" w:rsidRPr="00E23E40">
          <w:t>8</w:t>
        </w:r>
      </w:hyperlink>
      <w:r w:rsidR="005067D9" w:rsidRPr="00E23E40">
        <w:t xml:space="preserve">. В случае непредставления по объективным причинам лицом, замещающим </w:t>
      </w:r>
      <w:r w:rsidR="009F1749" w:rsidRPr="00E23E40">
        <w:t>муниципальную</w:t>
      </w:r>
      <w:r w:rsidR="005067D9" w:rsidRPr="00E23E40">
        <w:t xml:space="preserve">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9" w:history="1">
        <w:r w:rsidR="005067D9" w:rsidRPr="00E23E40">
          <w:t>9</w:t>
        </w:r>
      </w:hyperlink>
      <w:r w:rsidR="005067D9" w:rsidRPr="00E23E40"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 w:rsidR="009F1749" w:rsidRPr="00E23E40">
        <w:t>муниципальных</w:t>
      </w:r>
      <w:r w:rsidR="005067D9" w:rsidRPr="00E23E40">
        <w:t xml:space="preserve"> должностей, и лицами, замещающими </w:t>
      </w:r>
      <w:r w:rsidR="009F1749" w:rsidRPr="00E23E40">
        <w:t>муниципальные</w:t>
      </w:r>
      <w:r w:rsidR="005067D9" w:rsidRPr="00E23E40">
        <w:t xml:space="preserve"> должности, осуществляется в соответствии с законодательством Российской Федерации и Республики Саха (Якутия).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0" w:history="1">
        <w:r w:rsidR="005067D9" w:rsidRPr="00E23E40">
          <w:t>10</w:t>
        </w:r>
      </w:hyperlink>
      <w:r w:rsidR="005067D9" w:rsidRPr="00E23E40">
        <w:t xml:space="preserve">. Сведения о доходах, об имуществе и обязательствах имущественного характера, представляемые в соответствии с настоящим </w:t>
      </w:r>
      <w:r w:rsidR="005067D9" w:rsidRPr="00E23E40">
        <w:lastRenderedPageBreak/>
        <w:t xml:space="preserve">Положением гражданами, претендующими на замещение </w:t>
      </w:r>
      <w:r w:rsidR="009F1749" w:rsidRPr="00E23E40">
        <w:t>муниципальных</w:t>
      </w:r>
      <w:r w:rsidR="005067D9" w:rsidRPr="00E23E40">
        <w:t xml:space="preserve"> должностей, и лицами, замещающими </w:t>
      </w:r>
      <w:r w:rsidR="009F1749" w:rsidRPr="00E23E40">
        <w:t>муниципальные</w:t>
      </w:r>
      <w:r w:rsidR="005067D9" w:rsidRPr="00E23E40">
        <w:t xml:space="preserve">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23E40">
        <w:t xml:space="preserve">11. </w:t>
      </w:r>
      <w:proofErr w:type="gramStart"/>
      <w:r w:rsidRPr="00E23E40">
        <w:t xml:space="preserve">Сведения о доходах, об имуществе и обязательствах имущественного характера лица, замещающего </w:t>
      </w:r>
      <w:r w:rsidR="009F1749" w:rsidRPr="00E23E40">
        <w:t>муниципальную</w:t>
      </w:r>
      <w:r w:rsidRPr="00E23E40">
        <w:t xml:space="preserve"> должность, его супруги (супруга) и несовершеннолетних детей размещаются кадровыми службами в порядке, установленном</w:t>
      </w:r>
      <w:r w:rsidR="00E23E40" w:rsidRPr="00E23E40">
        <w:t xml:space="preserve"> Постановлением Главы города</w:t>
      </w:r>
      <w:r w:rsidR="00E23E40">
        <w:t xml:space="preserve"> от </w:t>
      </w:r>
      <w:r w:rsidR="00842563">
        <w:t>05.03.2014 № 09/14-ПГ,</w:t>
      </w:r>
      <w:r w:rsidRPr="00E23E40">
        <w:t xml:space="preserve"> на официальном сайте </w:t>
      </w:r>
      <w:r w:rsidR="00E23E40" w:rsidRPr="00E23E40">
        <w:t>Администрации муниципального образования «Город Мирный» Мирнинского района Республики Саха (Якутия) (далее – официальный сайт)</w:t>
      </w:r>
      <w:r w:rsidRPr="00E23E40">
        <w:t>, а в случае отсутствия этих сведений на официальном сайте - предоставляются общероссийским средствам</w:t>
      </w:r>
      <w:proofErr w:type="gramEnd"/>
      <w:r w:rsidRPr="00E23E40">
        <w:t xml:space="preserve"> массовой информации для опубликования по их запросам.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1" w:history="1">
        <w:r w:rsidR="00E23E40" w:rsidRPr="00E23E40">
          <w:t>12</w:t>
        </w:r>
      </w:hyperlink>
      <w:r w:rsidR="005067D9" w:rsidRPr="00E23E40">
        <w:t xml:space="preserve">. </w:t>
      </w:r>
      <w:r w:rsidR="00E23E40" w:rsidRPr="00E23E40">
        <w:t>Муниципальные служащие муниципального образования «Город Мирный» Мирнинского района Республики Саха (Якутия)</w:t>
      </w:r>
      <w:r w:rsidR="005067D9" w:rsidRPr="00E23E40"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2" w:history="1">
        <w:proofErr w:type="gramStart"/>
        <w:r w:rsidR="00E23E40" w:rsidRPr="00E23E40">
          <w:t>13</w:t>
        </w:r>
      </w:hyperlink>
      <w:r w:rsidR="005067D9" w:rsidRPr="00E23E40"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 w:rsidR="00E23E40" w:rsidRPr="00E23E40">
        <w:t>муниципальную</w:t>
      </w:r>
      <w:r w:rsidR="005067D9" w:rsidRPr="00E23E40">
        <w:t xml:space="preserve">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="00E23E40" w:rsidRPr="00E23E40">
        <w:t>муниципальную</w:t>
      </w:r>
      <w:r w:rsidR="005067D9" w:rsidRPr="00E23E40">
        <w:t xml:space="preserve"> должность.</w:t>
      </w:r>
      <w:proofErr w:type="gramEnd"/>
    </w:p>
    <w:p w:rsidR="005067D9" w:rsidRPr="00E23E40" w:rsidRDefault="005067D9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E23E40"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</w:t>
      </w:r>
      <w:r w:rsidRPr="00E23E40">
        <w:lastRenderedPageBreak/>
        <w:t xml:space="preserve">обязательствах имущественного характера своих супруги (супруга) и несовершеннолетних детей, не был наделен полномочиями по </w:t>
      </w:r>
      <w:r w:rsidR="00E23E40" w:rsidRPr="00E23E40">
        <w:t>муниципальной</w:t>
      </w:r>
      <w:r w:rsidRPr="00E23E40">
        <w:t xml:space="preserve"> должности (назначен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5067D9" w:rsidRPr="00E23E40" w:rsidRDefault="00656A43" w:rsidP="00E23E40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3" w:history="1">
        <w:r w:rsidR="00E23E40" w:rsidRPr="00E23E40">
          <w:t>14</w:t>
        </w:r>
      </w:hyperlink>
      <w:r w:rsidR="005067D9" w:rsidRPr="00E23E40"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</w:t>
      </w:r>
      <w:r w:rsidR="00E23E40" w:rsidRPr="00E23E40">
        <w:t>муниципальной</w:t>
      </w:r>
      <w:r w:rsidR="005067D9" w:rsidRPr="00E23E40">
        <w:t xml:space="preserve"> должности, и лицо, замещающее </w:t>
      </w:r>
      <w:r w:rsidR="00E23E40" w:rsidRPr="00E23E40">
        <w:t>муниципальную</w:t>
      </w:r>
      <w:r w:rsidR="005067D9" w:rsidRPr="00E23E40">
        <w:t xml:space="preserve"> должность, несут ответственность в соответствии с законодательством Российской Федерации.</w:t>
      </w:r>
    </w:p>
    <w:p w:rsidR="003B6A5F" w:rsidRPr="00E23E40" w:rsidRDefault="003B6A5F" w:rsidP="00E23E4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B6A5F" w:rsidRPr="00E23E40" w:rsidRDefault="003B6A5F" w:rsidP="00E23E4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B6A5F" w:rsidRPr="00E23E40" w:rsidRDefault="003B6A5F" w:rsidP="00E23E4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B6A5F" w:rsidRPr="00E23E40" w:rsidRDefault="003B6A5F" w:rsidP="00E23E4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B6A5F" w:rsidRDefault="003B6A5F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6A5F" w:rsidRDefault="003B6A5F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6A5F" w:rsidRDefault="003B6A5F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23E40" w:rsidRDefault="00E23E40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6A5F" w:rsidRDefault="003B6A5F" w:rsidP="003B6A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B6A5F" w:rsidRPr="00FD6C7B" w:rsidRDefault="003B6A5F" w:rsidP="00FD6C7B">
      <w:pPr>
        <w:ind w:left="4140"/>
        <w:jc w:val="right"/>
        <w:rPr>
          <w:sz w:val="20"/>
        </w:rPr>
      </w:pPr>
      <w:r w:rsidRPr="00FD6C7B">
        <w:rPr>
          <w:sz w:val="20"/>
        </w:rPr>
        <w:lastRenderedPageBreak/>
        <w:t>УТВЕРЖДЕНА</w:t>
      </w:r>
    </w:p>
    <w:p w:rsidR="003B6A5F" w:rsidRPr="00FD6C7B" w:rsidRDefault="003B6A5F" w:rsidP="00FD6C7B">
      <w:pPr>
        <w:ind w:left="4140"/>
        <w:jc w:val="right"/>
        <w:rPr>
          <w:sz w:val="20"/>
        </w:rPr>
      </w:pPr>
      <w:r w:rsidRPr="00FD6C7B">
        <w:rPr>
          <w:sz w:val="20"/>
        </w:rPr>
        <w:t>Постановлением Главы города</w:t>
      </w:r>
    </w:p>
    <w:p w:rsidR="00FD6C7B" w:rsidRPr="00FD6C7B" w:rsidRDefault="00FD6C7B" w:rsidP="00FD6C7B">
      <w:pPr>
        <w:ind w:left="4140"/>
        <w:jc w:val="right"/>
        <w:rPr>
          <w:b/>
          <w:sz w:val="20"/>
        </w:rPr>
      </w:pPr>
      <w:r w:rsidRPr="00FD6C7B">
        <w:rPr>
          <w:sz w:val="20"/>
        </w:rPr>
        <w:t>от 06.03.2014 г.  № 11/14-ПГ</w:t>
      </w:r>
    </w:p>
    <w:p w:rsidR="003B6A5F" w:rsidRPr="00E23E40" w:rsidRDefault="003B6A5F" w:rsidP="003B6A5F">
      <w:pPr>
        <w:ind w:left="4140"/>
        <w:jc w:val="center"/>
        <w:rPr>
          <w:b/>
          <w:sz w:val="22"/>
          <w:szCs w:val="22"/>
        </w:rPr>
      </w:pPr>
    </w:p>
    <w:p w:rsidR="003B6A5F" w:rsidRPr="00E23E40" w:rsidRDefault="003B6A5F" w:rsidP="003B6A5F">
      <w:pPr>
        <w:jc w:val="center"/>
        <w:rPr>
          <w:b/>
          <w:szCs w:val="28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   В 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>(наименование органа местного самоуправления МО «Город Мирный»)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>СПРАВКА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 xml:space="preserve">о доходах, об имуществе и обязательствах 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>имущественного характера лица, замещающего муниципальную должность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    Я, _______________________________________________________________________________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(замещаемая должность)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E23E40">
        <w:rPr>
          <w:rFonts w:ascii="Times New Roman" w:hAnsi="Times New Roman" w:cs="Times New Roman"/>
        </w:rPr>
        <w:t>проживающий</w:t>
      </w:r>
      <w:proofErr w:type="gramEnd"/>
      <w:r w:rsidRPr="00E23E40">
        <w:rPr>
          <w:rFonts w:ascii="Times New Roman" w:hAnsi="Times New Roman" w:cs="Times New Roman"/>
        </w:rPr>
        <w:t xml:space="preserve"> по адресу: 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                            (адрес места жительства)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сообщаю  сведения  о своих доходах за отчетный период с 1 января 20_____ года по 31 декабря 20____ года, об  имуществе,  принадлежащем   мне на   праве   собственности,   о   вкладах 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1. Сведения о доходах &lt;1&gt;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800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Величина дохода &lt;1&gt;  (руб.)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по основному месту работы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педагогической деятельности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научной деятельности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иной творческой деятельности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Доход от ценных бумаг и долей участия в коммерческих  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Иные доходы (указать вид дохода):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3)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Итого доход за отчетный период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2. Сведения об имуществе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2.1. Недвижимое имущество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914"/>
        <w:gridCol w:w="1914"/>
        <w:gridCol w:w="1572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&lt;2&gt;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(адрес)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5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Земельные участки &lt;2&gt;: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Жилые дома: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Квартиры: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Дачи:          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Гаражи: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Иное недвижимое имущество: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lastRenderedPageBreak/>
        <w:t>2.2. Транспортные средства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295"/>
        <w:gridCol w:w="2295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&lt;4&gt;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4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Автомобили легковые: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Автомобили грузовые: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Автоприцепы: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E23E40">
              <w:rPr>
                <w:sz w:val="16"/>
                <w:szCs w:val="16"/>
              </w:rPr>
              <w:t>Мототранспортные</w:t>
            </w:r>
            <w:proofErr w:type="spellEnd"/>
            <w:r w:rsidRPr="00E23E40">
              <w:rPr>
                <w:sz w:val="16"/>
                <w:szCs w:val="16"/>
              </w:rPr>
              <w:t xml:space="preserve"> средства: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Сельскохозяйственная техника: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Водный транспорт: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Воздушный транспорт: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Иные транспортные средства: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3. Сведения о денежных средствах, находящихся на счетах в банках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и иных кредитных организациях</w:t>
      </w:r>
    </w:p>
    <w:tbl>
      <w:tblPr>
        <w:tblW w:w="96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65"/>
        <w:gridCol w:w="1440"/>
        <w:gridCol w:w="1215"/>
      </w:tblGrid>
      <w:tr w:rsidR="003B6A5F" w:rsidRPr="00E23E40" w:rsidTr="003B6A5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ind w:hanging="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адрес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банка или иной кредитной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счета &lt;5&gt;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открытия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счета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6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7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4. Сведения о ценных бумагах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4.1. Акции и иное участие в коммерческих организациях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970"/>
        <w:gridCol w:w="1906"/>
        <w:gridCol w:w="1620"/>
        <w:gridCol w:w="1215"/>
        <w:gridCol w:w="1350"/>
      </w:tblGrid>
      <w:tr w:rsidR="003B6A5F" w:rsidRPr="00E23E40" w:rsidTr="003B6A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организационно-правовая форма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организации &lt;6&gt;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организации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(адрес)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капитал &lt;7&gt;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участия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&lt;8&gt;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участия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&lt;9&gt;</w:t>
            </w:r>
          </w:p>
        </w:tc>
      </w:tr>
      <w:tr w:rsidR="003B6A5F" w:rsidRPr="00E23E40" w:rsidTr="003B6A5F">
        <w:trPr>
          <w:cantSplit/>
          <w:trHeight w:val="1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6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4.2. Иные ценные бумаги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90"/>
        <w:gridCol w:w="1890"/>
        <w:gridCol w:w="1080"/>
        <w:gridCol w:w="1485"/>
      </w:tblGrid>
      <w:tr w:rsidR="003B6A5F" w:rsidRPr="00E23E40" w:rsidTr="003B6A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&lt;10&gt;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выпустившее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ценную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бумагу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величина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стоимость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&lt;11&gt;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6 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A5F" w:rsidRPr="00E23E40" w:rsidRDefault="003B6A5F" w:rsidP="003B6A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</w:t>
      </w:r>
      <w:r w:rsidRPr="00E23E40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23E4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____________________________________________________________________________________________.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lastRenderedPageBreak/>
        <w:t>Раздел 5. Сведения об обязательствах имущественного характера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5.1. Объекты недвижимого имущества, находящиеся в пользовании &lt;1&gt;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60"/>
        <w:gridCol w:w="2160"/>
        <w:gridCol w:w="1845"/>
        <w:gridCol w:w="1620"/>
        <w:gridCol w:w="1215"/>
      </w:tblGrid>
      <w:tr w:rsidR="003B6A5F" w:rsidRPr="00E23E40" w:rsidTr="003B6A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имущества &lt;12&gt;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пользования &lt;13&gt;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пользования &lt;14&gt;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нахождения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(кв. м)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3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6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5.2. Прочие обязательства &lt;2&gt;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90"/>
        <w:gridCol w:w="1350"/>
        <w:gridCol w:w="1890"/>
        <w:gridCol w:w="2160"/>
        <w:gridCol w:w="1755"/>
      </w:tblGrid>
      <w:tr w:rsidR="003B6A5F" w:rsidRPr="00E23E40" w:rsidTr="003B6A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&lt;15&gt;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(должник)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&lt;16&gt;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возникновения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&lt;17&gt;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 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обязательства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&lt;18&gt; (руб.)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&lt;19&gt;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6  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A5F" w:rsidRPr="00E23E40" w:rsidRDefault="003B6A5F" w:rsidP="003B6A5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Достоверность и полноту настоящих сведений подтверждаю.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"__" ___________ 20__ г. __________________________________________________</w:t>
      </w:r>
    </w:p>
    <w:p w:rsidR="003B6A5F" w:rsidRPr="00E23E40" w:rsidRDefault="003B6A5F" w:rsidP="003B6A5F">
      <w:pPr>
        <w:pStyle w:val="ConsPlusNonformat"/>
        <w:widowControl/>
        <w:ind w:firstLine="2410"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>(подпись гражданина, замещающего муниципальную должность)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  <w:t xml:space="preserve">    (Ф.И.О. и подпись лица, принявшего справку)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&lt;1&gt;  Доход, полученный  в  иностранной валюте, указывается  в рублях по курсу Банка России на дату получения дохода.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&lt;2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  гражданина,   претендующего   на  замещение  муниципальной должности, который представляет сведения.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&lt;3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&lt;4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  гражданина,   претендующего   на  замещение  муниципальной должности, который представляет сведения.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&lt;5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вид  счета (депозитный, текущий, расчетный, ссудный и другие) и валюта счета.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&lt;6&gt;   Указываются   полное  или  сокращенное  официальное  наименование организации  и  ее  организационно-правовая  форм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а(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акционерное  общество, общество  с  ограниченной  ответственностью, товарищество, производственный кооператив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&lt;7&gt;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&lt;8&gt;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&lt;9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&lt;10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&lt;11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&lt;12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вид  недвижимого  имущества (земельный участок, жилой дом, дача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&lt;13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вид  пользования (аренда, безвозмездное пользование и другие) и сроки пользования.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&lt;14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&lt;15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существо обязательства (заем, кредит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&lt;16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&lt;17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&lt;18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&lt;19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   --------------------------------</w:t>
      </w:r>
    </w:p>
    <w:p w:rsidR="003B6A5F" w:rsidRPr="00E23E40" w:rsidRDefault="003B6A5F" w:rsidP="003B6A5F">
      <w:pPr>
        <w:pStyle w:val="ConsPlusNonformat"/>
        <w:widowControl/>
        <w:ind w:firstLine="540"/>
        <w:rPr>
          <w:rFonts w:ascii="Times New Roman" w:hAnsi="Times New Roman" w:cs="Times New Roman"/>
          <w:i/>
          <w:sz w:val="16"/>
          <w:szCs w:val="16"/>
        </w:rPr>
      </w:pPr>
      <w:r w:rsidRPr="00E23E40">
        <w:rPr>
          <w:rFonts w:ascii="Times New Roman" w:hAnsi="Times New Roman" w:cs="Times New Roman"/>
          <w:i/>
          <w:sz w:val="16"/>
          <w:szCs w:val="16"/>
        </w:rPr>
        <w:t>&lt;1</w:t>
      </w:r>
      <w:proofErr w:type="gramStart"/>
      <w:r w:rsidRPr="00E23E40">
        <w:rPr>
          <w:rFonts w:ascii="Times New Roman" w:hAnsi="Times New Roman" w:cs="Times New Roman"/>
          <w:i/>
          <w:sz w:val="16"/>
          <w:szCs w:val="16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6"/>
          <w:szCs w:val="16"/>
        </w:rPr>
        <w:t>казываются по состоянию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3E40">
        <w:rPr>
          <w:rFonts w:ascii="Times New Roman" w:hAnsi="Times New Roman" w:cs="Times New Roman"/>
          <w:i/>
          <w:sz w:val="16"/>
          <w:szCs w:val="16"/>
        </w:rPr>
        <w:t>&lt;2</w:t>
      </w:r>
      <w:proofErr w:type="gramStart"/>
      <w:r w:rsidRPr="00E23E40">
        <w:rPr>
          <w:rFonts w:ascii="Times New Roman" w:hAnsi="Times New Roman" w:cs="Times New Roman"/>
          <w:i/>
          <w:sz w:val="16"/>
          <w:szCs w:val="16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B6A5F" w:rsidRPr="00E23E40" w:rsidRDefault="003B6A5F" w:rsidP="003B6A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B6A5F" w:rsidRPr="00E23E40" w:rsidRDefault="003B6A5F" w:rsidP="003B6A5F">
      <w:pPr>
        <w:ind w:left="4140"/>
        <w:jc w:val="center"/>
        <w:rPr>
          <w:sz w:val="22"/>
          <w:szCs w:val="22"/>
        </w:rPr>
      </w:pPr>
    </w:p>
    <w:p w:rsidR="003B6A5F" w:rsidRPr="00E23E40" w:rsidRDefault="003B6A5F" w:rsidP="003B6A5F">
      <w:pPr>
        <w:ind w:left="4140"/>
        <w:jc w:val="center"/>
        <w:rPr>
          <w:sz w:val="22"/>
          <w:szCs w:val="22"/>
        </w:rPr>
      </w:pPr>
    </w:p>
    <w:p w:rsidR="003B6A5F" w:rsidRPr="00E23E40" w:rsidRDefault="003B6A5F" w:rsidP="003B6A5F">
      <w:pPr>
        <w:ind w:left="4140"/>
        <w:jc w:val="center"/>
        <w:rPr>
          <w:sz w:val="22"/>
          <w:szCs w:val="22"/>
        </w:rPr>
      </w:pPr>
    </w:p>
    <w:p w:rsidR="00842563" w:rsidRDefault="00842563" w:rsidP="003B6A5F">
      <w:pPr>
        <w:ind w:left="4140"/>
        <w:jc w:val="center"/>
        <w:rPr>
          <w:sz w:val="22"/>
          <w:szCs w:val="22"/>
        </w:rPr>
      </w:pPr>
    </w:p>
    <w:p w:rsidR="00842563" w:rsidRDefault="00842563" w:rsidP="003B6A5F">
      <w:pPr>
        <w:ind w:left="4140"/>
        <w:jc w:val="center"/>
        <w:rPr>
          <w:sz w:val="22"/>
          <w:szCs w:val="22"/>
        </w:rPr>
      </w:pPr>
    </w:p>
    <w:p w:rsidR="003B6A5F" w:rsidRPr="00E23E40" w:rsidRDefault="003B6A5F" w:rsidP="00FD6C7B">
      <w:pPr>
        <w:ind w:left="4140"/>
        <w:jc w:val="right"/>
        <w:rPr>
          <w:sz w:val="22"/>
          <w:szCs w:val="22"/>
        </w:rPr>
      </w:pPr>
      <w:r w:rsidRPr="00E23E40">
        <w:rPr>
          <w:sz w:val="22"/>
          <w:szCs w:val="22"/>
        </w:rPr>
        <w:t>УТВЕРЖДЕНА</w:t>
      </w:r>
    </w:p>
    <w:p w:rsidR="003B6A5F" w:rsidRPr="00E23E40" w:rsidRDefault="003B6A5F" w:rsidP="00FD6C7B">
      <w:pPr>
        <w:ind w:left="4140"/>
        <w:jc w:val="right"/>
        <w:rPr>
          <w:sz w:val="22"/>
          <w:szCs w:val="22"/>
        </w:rPr>
      </w:pPr>
      <w:r w:rsidRPr="00E23E40">
        <w:rPr>
          <w:sz w:val="22"/>
          <w:szCs w:val="22"/>
        </w:rPr>
        <w:t>Постановлением Главы города</w:t>
      </w:r>
    </w:p>
    <w:p w:rsidR="00FD6C7B" w:rsidRPr="00FD6C7B" w:rsidRDefault="00FD6C7B" w:rsidP="00FD6C7B">
      <w:pPr>
        <w:ind w:left="4140"/>
        <w:jc w:val="right"/>
        <w:rPr>
          <w:b/>
          <w:sz w:val="22"/>
          <w:szCs w:val="22"/>
        </w:rPr>
      </w:pPr>
      <w:r w:rsidRPr="00FD6C7B">
        <w:rPr>
          <w:sz w:val="22"/>
          <w:szCs w:val="22"/>
        </w:rPr>
        <w:t>от 06.03.2014 г.  № 11/14-ПГ</w:t>
      </w:r>
    </w:p>
    <w:p w:rsidR="003B6A5F" w:rsidRPr="00E23E40" w:rsidRDefault="003B6A5F" w:rsidP="003B6A5F">
      <w:pPr>
        <w:pStyle w:val="21"/>
        <w:ind w:firstLine="5387"/>
        <w:jc w:val="left"/>
        <w:rPr>
          <w:bCs/>
          <w:sz w:val="22"/>
          <w:szCs w:val="22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   В 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>(наименование органа местного самоуправления МО «Город Мирный»)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>СПРАВКА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 xml:space="preserve">о доходах, об имуществе и обязательствах 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23E40">
        <w:rPr>
          <w:rFonts w:ascii="Times New Roman" w:hAnsi="Times New Roman" w:cs="Times New Roman"/>
          <w:b/>
        </w:rPr>
        <w:t>имущественного характера супруги (супруга) и несовершеннолетних детей лица, замещающего муниципальную должность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Я, _______________________________________________________________________________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(замещаемая должность)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E23E40">
        <w:rPr>
          <w:rFonts w:ascii="Times New Roman" w:hAnsi="Times New Roman" w:cs="Times New Roman"/>
        </w:rPr>
        <w:t>проживающий</w:t>
      </w:r>
      <w:proofErr w:type="gramEnd"/>
      <w:r w:rsidRPr="00E23E40">
        <w:rPr>
          <w:rFonts w:ascii="Times New Roman" w:hAnsi="Times New Roman" w:cs="Times New Roman"/>
        </w:rPr>
        <w:t xml:space="preserve"> по адресу: 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                            (адрес места жительства)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сообщаю  сведения  о доходах за отчетный период с 1 января 20____ года по 31 декабря 20____ года </w:t>
      </w:r>
      <w:proofErr w:type="gramStart"/>
      <w:r w:rsidRPr="00E23E40">
        <w:rPr>
          <w:rFonts w:ascii="Times New Roman" w:hAnsi="Times New Roman" w:cs="Times New Roman"/>
        </w:rPr>
        <w:t>моей</w:t>
      </w:r>
      <w:proofErr w:type="gramEnd"/>
      <w:r w:rsidRPr="00E23E40">
        <w:rPr>
          <w:rFonts w:ascii="Times New Roman" w:hAnsi="Times New Roman" w:cs="Times New Roman"/>
        </w:rPr>
        <w:t xml:space="preserve"> (моего) ____________________________________________________________________,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                               (супруг</w:t>
      </w:r>
      <w:proofErr w:type="gramStart"/>
      <w:r w:rsidRPr="00E23E40">
        <w:rPr>
          <w:rFonts w:ascii="Times New Roman" w:hAnsi="Times New Roman" w:cs="Times New Roman"/>
          <w:sz w:val="14"/>
          <w:szCs w:val="14"/>
        </w:rPr>
        <w:t>и(</w:t>
      </w:r>
      <w:proofErr w:type="gramEnd"/>
      <w:r w:rsidRPr="00E23E40">
        <w:rPr>
          <w:rFonts w:ascii="Times New Roman" w:hAnsi="Times New Roman" w:cs="Times New Roman"/>
          <w:sz w:val="14"/>
          <w:szCs w:val="14"/>
        </w:rPr>
        <w:t>супруга), несовершеннолетней дочери, несовершеннолетнего сына)</w:t>
      </w: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>(фамилия, имя, отчество, дата рождения)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E23E40">
        <w:rPr>
          <w:rFonts w:ascii="Times New Roman" w:hAnsi="Times New Roman" w:cs="Times New Roman"/>
        </w:rPr>
        <w:t>___________________________________________________________________________________о</w:t>
      </w:r>
      <w:r w:rsidRPr="00E23E40">
        <w:rPr>
          <w:rFonts w:ascii="Times New Roman" w:hAnsi="Times New Roman" w:cs="Times New Roman"/>
          <w:sz w:val="14"/>
          <w:szCs w:val="14"/>
        </w:rPr>
        <w:t xml:space="preserve">     (основное место работы или службы, занимаемая должность; в случае</w:t>
      </w:r>
      <w:proofErr w:type="gramEnd"/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        отсутствия основного места работы или службы - род занятий)</w:t>
      </w:r>
    </w:p>
    <w:p w:rsidR="003B6A5F" w:rsidRPr="00E23E40" w:rsidRDefault="003B6A5F" w:rsidP="003B6A5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об  имуществе,  принадлежащем   ей (ему) на   праве   собственности,   о   вкладах  в  банках,  ценных  бумагах,  об обязательствах имущественного характера по состоянию на конец отчетного периода (на отчетную дату):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1. Сведения о доходах &lt;1&gt;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800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Величина дохода &lt;1&gt;  (руб.)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по основному месту работы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педагогической деятельности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научной деятельности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Доход от иной творческой деятельности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Доход от ценных бумаг и долей участия в коммерческих  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Иные доходы (указать вид дохода):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3)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F" w:rsidRPr="00E23E40" w:rsidRDefault="003B6A5F" w:rsidP="003B6A5F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Итого доход за отчетный период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2. Сведения об имуществе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2.1. Недвижимое имущество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914"/>
        <w:gridCol w:w="1914"/>
        <w:gridCol w:w="1572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&lt;2&gt;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(адрес)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5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Земельные участки &lt;3&gt;: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Жилые дома: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Квартиры: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23E40">
        <w:rPr>
          <w:rFonts w:ascii="Times New Roman" w:hAnsi="Times New Roman" w:cs="Times New Roman"/>
          <w:i/>
          <w:sz w:val="16"/>
          <w:szCs w:val="16"/>
        </w:rPr>
        <w:lastRenderedPageBreak/>
        <w:t>&lt;1&gt;  Сведения предоставляются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3B6A5F" w:rsidRPr="00E23E40" w:rsidRDefault="003B6A5F" w:rsidP="003B6A5F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914"/>
        <w:gridCol w:w="1914"/>
        <w:gridCol w:w="1572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Дачи:          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Гаражи: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Иное недвижимое имущество: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2.2. Транспортные средства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295"/>
        <w:gridCol w:w="2295"/>
      </w:tblGrid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&lt;4&gt;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>4</w:t>
            </w: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Автомобили легковые: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Автомобили грузовые: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Автоприцепы: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E23E40">
              <w:rPr>
                <w:sz w:val="16"/>
                <w:szCs w:val="16"/>
              </w:rPr>
              <w:t>Мототранспортные</w:t>
            </w:r>
            <w:proofErr w:type="spellEnd"/>
            <w:r w:rsidRPr="00E23E40">
              <w:rPr>
                <w:sz w:val="16"/>
                <w:szCs w:val="16"/>
              </w:rPr>
              <w:t xml:space="preserve"> средства: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Сельскохозяйственная техника: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2)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Водный транспорт:  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Воздушный транспорт:       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3B6A5F" w:rsidRPr="00E23E40" w:rsidTr="003B6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hanging="7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Иные транспортные средства:   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>1)</w:t>
            </w:r>
          </w:p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3E40">
              <w:rPr>
                <w:sz w:val="16"/>
                <w:szCs w:val="16"/>
              </w:rPr>
              <w:t xml:space="preserve">2)    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5F" w:rsidRPr="00E23E40" w:rsidRDefault="003B6A5F" w:rsidP="003B6A5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3. Сведения о денежных средствах, находящихся на счетах в банках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и иных кредитных организациях</w:t>
      </w:r>
    </w:p>
    <w:tbl>
      <w:tblPr>
        <w:tblW w:w="96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65"/>
        <w:gridCol w:w="1440"/>
        <w:gridCol w:w="1215"/>
      </w:tblGrid>
      <w:tr w:rsidR="003B6A5F" w:rsidRPr="00E23E40" w:rsidTr="003B6A5F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ind w:hanging="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адрес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банка или иной кредитной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счета &lt;5&gt;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открытия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счета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4. Сведения о ценных бумагах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4.1. Акции и иное участие в коммерческих организациях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970"/>
        <w:gridCol w:w="1906"/>
        <w:gridCol w:w="1620"/>
        <w:gridCol w:w="1215"/>
        <w:gridCol w:w="1350"/>
      </w:tblGrid>
      <w:tr w:rsidR="003B6A5F" w:rsidRPr="00E23E40" w:rsidTr="003B6A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организационно-правовая форма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организации &lt;6&gt;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организации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(адрес)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капитал &lt;7&gt;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Доля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участия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&lt;8&gt;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участия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&lt;9&gt;</w:t>
            </w:r>
          </w:p>
        </w:tc>
      </w:tr>
      <w:tr w:rsidR="003B6A5F" w:rsidRPr="00E23E40" w:rsidTr="003B6A5F">
        <w:trPr>
          <w:cantSplit/>
          <w:trHeight w:val="1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6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4.2. Иные ценные бумаги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90"/>
        <w:gridCol w:w="1890"/>
        <w:gridCol w:w="1080"/>
        <w:gridCol w:w="1485"/>
      </w:tblGrid>
      <w:tr w:rsidR="003B6A5F" w:rsidRPr="00E23E40" w:rsidTr="003B6A5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&lt;10&gt;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выпустившее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ценную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бумагу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величина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стоимость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&lt;11&gt;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(руб.)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23E40">
              <w:rPr>
                <w:sz w:val="12"/>
                <w:szCs w:val="12"/>
              </w:rPr>
              <w:t xml:space="preserve">6 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</w:t>
      </w:r>
      <w:r w:rsidRPr="00E23E40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23E4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____________________________________________________________________________________________.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Раздел 5. Сведения об обязательствах имущественного характера</w:t>
      </w: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5.1. Объекты недвижимого имущества, находящиеся в пользовании &lt;2&gt;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60"/>
        <w:gridCol w:w="2160"/>
        <w:gridCol w:w="1845"/>
        <w:gridCol w:w="1620"/>
        <w:gridCol w:w="1215"/>
      </w:tblGrid>
      <w:tr w:rsidR="003B6A5F" w:rsidRPr="00E23E40" w:rsidTr="003B6A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имущества &lt;12&gt;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пользования &lt;13&gt;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пользования &lt;14&gt;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нахождения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(кв. м)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3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6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5.2. Прочие обязательства &lt;3&gt;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890"/>
        <w:gridCol w:w="1350"/>
        <w:gridCol w:w="1890"/>
        <w:gridCol w:w="2160"/>
        <w:gridCol w:w="1755"/>
      </w:tblGrid>
      <w:tr w:rsidR="003B6A5F" w:rsidRPr="00E23E40" w:rsidTr="003B6A5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&lt;15&gt;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(должник)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&lt;16&gt;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возникновения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&lt;17&gt;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  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обязательства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&lt;18&gt; (руб.)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  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обязательства</w:t>
            </w:r>
            <w:r w:rsidRPr="00E23E4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&lt;19&gt;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5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E23E40">
              <w:rPr>
                <w:sz w:val="12"/>
                <w:szCs w:val="12"/>
              </w:rPr>
              <w:t xml:space="preserve">6      </w:t>
            </w: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A5F" w:rsidRPr="00E23E40" w:rsidTr="003B6A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23E40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5F" w:rsidRPr="00E23E40" w:rsidRDefault="003B6A5F" w:rsidP="003B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  <w:r w:rsidRPr="00E23E40">
        <w:rPr>
          <w:rFonts w:ascii="Times New Roman" w:hAnsi="Times New Roman" w:cs="Times New Roman"/>
          <w:b/>
          <w:sz w:val="18"/>
          <w:szCs w:val="18"/>
        </w:rPr>
        <w:t>Достоверность и полноту настоящих сведений подтверждаю.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"__" ___________ 20__ г. __________________________________________________</w:t>
      </w:r>
    </w:p>
    <w:p w:rsidR="003B6A5F" w:rsidRPr="00E23E40" w:rsidRDefault="003B6A5F" w:rsidP="003B6A5F">
      <w:pPr>
        <w:pStyle w:val="ConsPlusNonformat"/>
        <w:widowControl/>
        <w:ind w:firstLine="2410"/>
        <w:jc w:val="center"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 xml:space="preserve">(подпись гражданина, замещающего муниципальную должность, </w:t>
      </w:r>
      <w:proofErr w:type="gramStart"/>
      <w:r w:rsidRPr="00E23E40">
        <w:rPr>
          <w:rFonts w:ascii="Times New Roman" w:hAnsi="Times New Roman" w:cs="Times New Roman"/>
          <w:sz w:val="14"/>
          <w:szCs w:val="14"/>
        </w:rPr>
        <w:t>которое</w:t>
      </w:r>
      <w:proofErr w:type="gramEnd"/>
      <w:r w:rsidRPr="00E23E40">
        <w:rPr>
          <w:rFonts w:ascii="Times New Roman" w:hAnsi="Times New Roman" w:cs="Times New Roman"/>
          <w:sz w:val="14"/>
          <w:szCs w:val="14"/>
        </w:rPr>
        <w:t xml:space="preserve"> представляет сведения)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>___________________________________________________________________________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</w:r>
      <w:r w:rsidRPr="00E23E40">
        <w:rPr>
          <w:rFonts w:ascii="Times New Roman" w:hAnsi="Times New Roman" w:cs="Times New Roman"/>
          <w:sz w:val="14"/>
          <w:szCs w:val="14"/>
        </w:rPr>
        <w:tab/>
        <w:t xml:space="preserve">    (Ф.И.О. и подпись лица, принявшего справку)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&lt;1&gt;  Доход, полученный  в  иностранной валюте, указывается  в рублях по курсу Банка России на дату получения дохода.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&lt;2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  гражданина,   претендующего   на  замещение  муниципальной должности, который представляет сведения.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&lt;3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&lt;4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 доля   гражданина,   претендующего   на  замещение  муниципальной должности, который представляет сведения.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&lt;5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вид  счета (депозитный, текущий, расчетный, ссудный и другие) и валюта счета.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&lt;6&gt;   Указываются   полное  или  сокращенное  официальное  наименование организации  и  ее  организационно-правовая  форм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а(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акционерное  общество, общество  с  ограниченной  ответственностью, товарищество, производственный кооператив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&lt;7&gt;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&lt;8&gt;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&lt;9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&lt;10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&lt;11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&lt;12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 вид  недвижимого  имущества (земельный участок, жилой дом, дача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&lt;13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вид  пользования (аренда, безвозмездное пользование и другие) и сроки пользования.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&lt;14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  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&lt;15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существо обязательства (заем, кредит и другие).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&lt;16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&lt;17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&lt;18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B6A5F" w:rsidRPr="00E23E40" w:rsidRDefault="003B6A5F" w:rsidP="003B6A5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23E40">
        <w:rPr>
          <w:rFonts w:ascii="Times New Roman" w:hAnsi="Times New Roman" w:cs="Times New Roman"/>
          <w:i/>
          <w:sz w:val="14"/>
          <w:szCs w:val="14"/>
        </w:rPr>
        <w:t>&lt;19</w:t>
      </w:r>
      <w:proofErr w:type="gramStart"/>
      <w:r w:rsidRPr="00E23E40">
        <w:rPr>
          <w:rFonts w:ascii="Times New Roman" w:hAnsi="Times New Roman" w:cs="Times New Roman"/>
          <w:i/>
          <w:sz w:val="14"/>
          <w:szCs w:val="14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4"/>
          <w:szCs w:val="1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6A5F" w:rsidRPr="00E23E40" w:rsidRDefault="003B6A5F" w:rsidP="003B6A5F">
      <w:pPr>
        <w:pStyle w:val="ConsPlusNonformat"/>
        <w:widowControl/>
        <w:rPr>
          <w:rFonts w:ascii="Times New Roman" w:hAnsi="Times New Roman" w:cs="Times New Roman"/>
        </w:rPr>
      </w:pPr>
      <w:r w:rsidRPr="00E23E40">
        <w:rPr>
          <w:rFonts w:ascii="Times New Roman" w:hAnsi="Times New Roman" w:cs="Times New Roman"/>
        </w:rPr>
        <w:t xml:space="preserve">   --------------------------------</w:t>
      </w:r>
    </w:p>
    <w:p w:rsidR="003B6A5F" w:rsidRPr="00E23E40" w:rsidRDefault="003B6A5F" w:rsidP="003B6A5F">
      <w:pPr>
        <w:pStyle w:val="ConsPlusNonformat"/>
        <w:widowControl/>
        <w:ind w:firstLine="540"/>
        <w:rPr>
          <w:rFonts w:ascii="Times New Roman" w:hAnsi="Times New Roman" w:cs="Times New Roman"/>
          <w:i/>
          <w:sz w:val="16"/>
          <w:szCs w:val="16"/>
        </w:rPr>
      </w:pPr>
      <w:r w:rsidRPr="00E23E40">
        <w:rPr>
          <w:rFonts w:ascii="Times New Roman" w:hAnsi="Times New Roman" w:cs="Times New Roman"/>
          <w:i/>
          <w:sz w:val="16"/>
          <w:szCs w:val="16"/>
        </w:rPr>
        <w:t>&lt;2</w:t>
      </w:r>
      <w:proofErr w:type="gramStart"/>
      <w:r w:rsidRPr="00E23E40">
        <w:rPr>
          <w:rFonts w:ascii="Times New Roman" w:hAnsi="Times New Roman" w:cs="Times New Roman"/>
          <w:i/>
          <w:sz w:val="16"/>
          <w:szCs w:val="16"/>
        </w:rPr>
        <w:t>&gt; У</w:t>
      </w:r>
      <w:proofErr w:type="gramEnd"/>
      <w:r w:rsidRPr="00E23E40">
        <w:rPr>
          <w:rFonts w:ascii="Times New Roman" w:hAnsi="Times New Roman" w:cs="Times New Roman"/>
          <w:i/>
          <w:sz w:val="16"/>
          <w:szCs w:val="16"/>
        </w:rPr>
        <w:t>казываются по состоянию на отчетную дату.</w:t>
      </w:r>
    </w:p>
    <w:p w:rsidR="003B6A5F" w:rsidRPr="003B6A5F" w:rsidRDefault="003B6A5F" w:rsidP="003B6A5F">
      <w:pPr>
        <w:pStyle w:val="ConsPlusNonformat"/>
        <w:widowControl/>
        <w:ind w:firstLine="540"/>
        <w:jc w:val="both"/>
        <w:rPr>
          <w:rFonts w:ascii="Arial" w:hAnsi="Arial" w:cs="Arial"/>
          <w:i/>
          <w:sz w:val="16"/>
          <w:szCs w:val="16"/>
        </w:rPr>
      </w:pPr>
      <w:r w:rsidRPr="00E23E40">
        <w:rPr>
          <w:rFonts w:ascii="Times New Roman" w:hAnsi="Times New Roman" w:cs="Times New Roman"/>
          <w:i/>
          <w:sz w:val="16"/>
          <w:szCs w:val="16"/>
        </w:rPr>
        <w:t>&lt;3</w:t>
      </w:r>
      <w:proofErr w:type="gramStart"/>
      <w:r w:rsidRPr="00E23E40">
        <w:rPr>
          <w:rFonts w:ascii="Times New Roman" w:hAnsi="Times New Roman" w:cs="Times New Roman"/>
          <w:i/>
          <w:sz w:val="16"/>
          <w:szCs w:val="16"/>
        </w:rPr>
        <w:t>&gt;  У</w:t>
      </w:r>
      <w:proofErr w:type="gramEnd"/>
      <w:r w:rsidRPr="00E23E40">
        <w:rPr>
          <w:rFonts w:ascii="Times New Roman" w:hAnsi="Times New Roman" w:cs="Times New Roman"/>
          <w:i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</w:t>
      </w:r>
      <w:r>
        <w:rPr>
          <w:rFonts w:ascii="Arial" w:hAnsi="Arial" w:cs="Arial"/>
          <w:i/>
          <w:sz w:val="16"/>
          <w:szCs w:val="16"/>
        </w:rPr>
        <w:t>тную дату.</w:t>
      </w:r>
    </w:p>
    <w:sectPr w:rsidR="003B6A5F" w:rsidRPr="003B6A5F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84"/>
    <w:multiLevelType w:val="multilevel"/>
    <w:tmpl w:val="B3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4B3B"/>
    <w:multiLevelType w:val="hybridMultilevel"/>
    <w:tmpl w:val="DCA65F5A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3415"/>
    <w:multiLevelType w:val="hybridMultilevel"/>
    <w:tmpl w:val="1B74AE02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0D06"/>
    <w:multiLevelType w:val="multilevel"/>
    <w:tmpl w:val="A8E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B422C"/>
    <w:multiLevelType w:val="hybridMultilevel"/>
    <w:tmpl w:val="E0A83C50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621E8"/>
    <w:multiLevelType w:val="multilevel"/>
    <w:tmpl w:val="91B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E2BB4"/>
    <w:multiLevelType w:val="hybridMultilevel"/>
    <w:tmpl w:val="165AC260"/>
    <w:lvl w:ilvl="0" w:tplc="DFF8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57971"/>
    <w:multiLevelType w:val="multilevel"/>
    <w:tmpl w:val="6186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83AB5"/>
    <w:multiLevelType w:val="multilevel"/>
    <w:tmpl w:val="1B74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62830"/>
    <w:multiLevelType w:val="multilevel"/>
    <w:tmpl w:val="F0A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A5577"/>
    <w:multiLevelType w:val="hybridMultilevel"/>
    <w:tmpl w:val="210887A6"/>
    <w:lvl w:ilvl="0" w:tplc="DFF8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F26D8"/>
    <w:multiLevelType w:val="hybridMultilevel"/>
    <w:tmpl w:val="B370429C"/>
    <w:lvl w:ilvl="0" w:tplc="9B3C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46319"/>
    <w:multiLevelType w:val="multilevel"/>
    <w:tmpl w:val="91B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B1E57"/>
    <w:multiLevelType w:val="multilevel"/>
    <w:tmpl w:val="15C6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36BAB"/>
    <w:multiLevelType w:val="multilevel"/>
    <w:tmpl w:val="91B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54019"/>
    <w:multiLevelType w:val="hybridMultilevel"/>
    <w:tmpl w:val="91BC4BA6"/>
    <w:lvl w:ilvl="0" w:tplc="DFF8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02A01"/>
    <w:multiLevelType w:val="hybridMultilevel"/>
    <w:tmpl w:val="1B74AE02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216AA"/>
    <w:multiLevelType w:val="hybridMultilevel"/>
    <w:tmpl w:val="3A60CA54"/>
    <w:lvl w:ilvl="0" w:tplc="9B3C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F1700"/>
    <w:multiLevelType w:val="hybridMultilevel"/>
    <w:tmpl w:val="15C6B36C"/>
    <w:lvl w:ilvl="0" w:tplc="DFF8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10138"/>
    <w:multiLevelType w:val="hybridMultilevel"/>
    <w:tmpl w:val="A8E85658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A4301"/>
    <w:multiLevelType w:val="hybridMultilevel"/>
    <w:tmpl w:val="1B74AE02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61AC4"/>
    <w:multiLevelType w:val="multilevel"/>
    <w:tmpl w:val="A8E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8120D"/>
    <w:multiLevelType w:val="hybridMultilevel"/>
    <w:tmpl w:val="B370429C"/>
    <w:lvl w:ilvl="0" w:tplc="9B3C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462FB"/>
    <w:multiLevelType w:val="hybridMultilevel"/>
    <w:tmpl w:val="91BC4BA6"/>
    <w:lvl w:ilvl="0" w:tplc="DFF8E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C4257"/>
    <w:multiLevelType w:val="hybridMultilevel"/>
    <w:tmpl w:val="DCA65F5A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2E14D2"/>
    <w:multiLevelType w:val="hybridMultilevel"/>
    <w:tmpl w:val="E0A83C50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F4D30"/>
    <w:multiLevelType w:val="multilevel"/>
    <w:tmpl w:val="6186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70566"/>
    <w:multiLevelType w:val="multilevel"/>
    <w:tmpl w:val="B3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954D7"/>
    <w:multiLevelType w:val="hybridMultilevel"/>
    <w:tmpl w:val="1B74AE02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95DAC"/>
    <w:multiLevelType w:val="hybridMultilevel"/>
    <w:tmpl w:val="CC382532"/>
    <w:lvl w:ilvl="0" w:tplc="8E30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467FB"/>
    <w:multiLevelType w:val="multilevel"/>
    <w:tmpl w:val="804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E647F"/>
    <w:multiLevelType w:val="multilevel"/>
    <w:tmpl w:val="165A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26"/>
  </w:num>
  <w:num w:numId="7">
    <w:abstractNumId w:val="9"/>
  </w:num>
  <w:num w:numId="8">
    <w:abstractNumId w:val="0"/>
  </w:num>
  <w:num w:numId="9">
    <w:abstractNumId w:val="17"/>
  </w:num>
  <w:num w:numId="10">
    <w:abstractNumId w:val="14"/>
  </w:num>
  <w:num w:numId="11">
    <w:abstractNumId w:val="18"/>
  </w:num>
  <w:num w:numId="12">
    <w:abstractNumId w:val="30"/>
  </w:num>
  <w:num w:numId="13">
    <w:abstractNumId w:val="19"/>
  </w:num>
  <w:num w:numId="14">
    <w:abstractNumId w:val="27"/>
  </w:num>
  <w:num w:numId="15">
    <w:abstractNumId w:val="3"/>
  </w:num>
  <w:num w:numId="16">
    <w:abstractNumId w:val="25"/>
  </w:num>
  <w:num w:numId="17">
    <w:abstractNumId w:val="5"/>
  </w:num>
  <w:num w:numId="18">
    <w:abstractNumId w:val="1"/>
  </w:num>
  <w:num w:numId="19">
    <w:abstractNumId w:val="8"/>
  </w:num>
  <w:num w:numId="20">
    <w:abstractNumId w:val="29"/>
  </w:num>
  <w:num w:numId="21">
    <w:abstractNumId w:val="13"/>
  </w:num>
  <w:num w:numId="22">
    <w:abstractNumId w:val="6"/>
  </w:num>
  <w:num w:numId="23">
    <w:abstractNumId w:val="21"/>
  </w:num>
  <w:num w:numId="24">
    <w:abstractNumId w:val="31"/>
  </w:num>
  <w:num w:numId="25">
    <w:abstractNumId w:val="10"/>
  </w:num>
  <w:num w:numId="26">
    <w:abstractNumId w:val="11"/>
  </w:num>
  <w:num w:numId="27">
    <w:abstractNumId w:val="23"/>
  </w:num>
  <w:num w:numId="28">
    <w:abstractNumId w:val="20"/>
  </w:num>
  <w:num w:numId="29">
    <w:abstractNumId w:val="28"/>
  </w:num>
  <w:num w:numId="30">
    <w:abstractNumId w:val="4"/>
  </w:num>
  <w:num w:numId="31">
    <w:abstractNumId w:val="24"/>
  </w:num>
  <w:num w:numId="32">
    <w:abstractNumId w:val="1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A5F"/>
    <w:rsid w:val="000005F5"/>
    <w:rsid w:val="00000BF2"/>
    <w:rsid w:val="0000214E"/>
    <w:rsid w:val="0000269D"/>
    <w:rsid w:val="000037B6"/>
    <w:rsid w:val="00004716"/>
    <w:rsid w:val="0000495F"/>
    <w:rsid w:val="000056A1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95D38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3D7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6A5F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67D9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0FA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A43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4C0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714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563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2A67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1749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4E3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E40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C7B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6A5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6A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6A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B6A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3B6A5F"/>
    <w:pPr>
      <w:spacing w:before="100" w:beforeAutospacing="1" w:after="100" w:afterAutospacing="1"/>
    </w:pPr>
    <w:rPr>
      <w:sz w:val="24"/>
      <w:szCs w:val="24"/>
    </w:rPr>
  </w:style>
  <w:style w:type="paragraph" w:customStyle="1" w:styleId="0">
    <w:name w:val="Стиль0"/>
    <w:rsid w:val="003B6A5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3B6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3B6A5F"/>
    <w:pPr>
      <w:jc w:val="center"/>
    </w:pPr>
    <w:rPr>
      <w:sz w:val="16"/>
      <w:szCs w:val="24"/>
    </w:rPr>
  </w:style>
  <w:style w:type="character" w:customStyle="1" w:styleId="22">
    <w:name w:val="Основной текст 2 Знак"/>
    <w:basedOn w:val="a0"/>
    <w:link w:val="21"/>
    <w:rsid w:val="003B6A5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3B6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6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B6A5F"/>
    <w:rPr>
      <w:color w:val="0000FF"/>
      <w:u w:val="single"/>
    </w:rPr>
  </w:style>
  <w:style w:type="paragraph" w:customStyle="1" w:styleId="ConsPlusTitle">
    <w:name w:val="ConsPlusTitle"/>
    <w:rsid w:val="003B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A3ED2E139587944F278440D2D7B0E29AFF9C12CE7CB88039A1B4C94F0CF27E652E4AA1CAA551A049CDH2E0I" TargetMode="External"/><Relationship Id="rId13" Type="http://schemas.openxmlformats.org/officeDocument/2006/relationships/hyperlink" Target="consultantplus://offline/ref=07ECA3ED2E139587944F278440D2D7B0E29AFF9C12CE7CB88039A1B4C94F0CF27E652E4AA1CAA551A049CDH2E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ECA3ED2E139587944F278440D2D7B0E29AFF9C12CE7CB88039A1B4C94F0CF27E652E4AA1CAA551A049CDH2E0I" TargetMode="External"/><Relationship Id="rId12" Type="http://schemas.openxmlformats.org/officeDocument/2006/relationships/hyperlink" Target="consultantplus://offline/ref=07ECA3ED2E139587944F278440D2D7B0E29AFF9C12CE7CB88039A1B4C94F0CF27E652E4AA1CAA551A049CDH2E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ECA3ED2E139587944F278440D2D7B0E29AFF9C12CE7CB88039A1B4C94F0CF27E652E4AA1CAA551A049CDH2E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CA3ED2E139587944F278440D2D7B0E29AFF9C12CE7CB88039A1B4C94F0CF27E652E4AA1CAA551A049CDH2E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A3ED2E139587944F278440D2D7B0E29AFF9C12CE7CB88039A1B4C94F0CF27E652E4AA1CAA551A049CDH2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Олег</cp:lastModifiedBy>
  <cp:revision>10</cp:revision>
  <cp:lastPrinted>2014-03-05T07:19:00Z</cp:lastPrinted>
  <dcterms:created xsi:type="dcterms:W3CDTF">2014-01-24T07:28:00Z</dcterms:created>
  <dcterms:modified xsi:type="dcterms:W3CDTF">2014-03-11T06:09:00Z</dcterms:modified>
</cp:coreProperties>
</file>